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B34AB" w:rsidP="0072791C">
            <w:pPr>
              <w:tabs>
                <w:tab w:val="left" w:pos="1155"/>
              </w:tabs>
              <w:jc w:val="center"/>
            </w:pPr>
            <w:r>
              <w:t>3</w:t>
            </w:r>
            <w:r w:rsidR="0072791C">
              <w:t xml:space="preserve"> квартал 2020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B34AB" w:rsidP="009A23E6">
            <w:pPr>
              <w:tabs>
                <w:tab w:val="left" w:pos="1155"/>
              </w:tabs>
              <w:jc w:val="center"/>
            </w:pPr>
            <w:r>
              <w:t>99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B34AB" w:rsidP="009A23E6">
            <w:pPr>
              <w:tabs>
                <w:tab w:val="left" w:pos="1155"/>
              </w:tabs>
              <w:jc w:val="center"/>
            </w:pPr>
            <w:r>
              <w:t>72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B34AB" w:rsidP="009A23E6">
            <w:pPr>
              <w:tabs>
                <w:tab w:val="left" w:pos="1155"/>
              </w:tabs>
              <w:jc w:val="center"/>
            </w:pPr>
            <w:r>
              <w:t>1154,174</w:t>
            </w:r>
            <w:bookmarkStart w:id="0" w:name="_GoBack"/>
            <w:bookmarkEnd w:id="0"/>
            <w:r w:rsidR="00BE3B30" w:rsidRPr="00BE3B3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72791C"/>
    <w:rsid w:val="009A23E6"/>
    <w:rsid w:val="00BC18E0"/>
    <w:rsid w:val="00BE3B30"/>
    <w:rsid w:val="00C271DD"/>
    <w:rsid w:val="00CE7200"/>
    <w:rsid w:val="00FB34AB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A0D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10</cp:revision>
  <cp:lastPrinted>2019-11-12T09:58:00Z</cp:lastPrinted>
  <dcterms:created xsi:type="dcterms:W3CDTF">2020-01-13T01:21:00Z</dcterms:created>
  <dcterms:modified xsi:type="dcterms:W3CDTF">2020-10-07T03:54:00Z</dcterms:modified>
</cp:coreProperties>
</file>