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AD4933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20D2">
              <w:rPr>
                <w:sz w:val="28"/>
                <w:szCs w:val="28"/>
              </w:rPr>
              <w:t xml:space="preserve"> квартал 2020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AD4933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AD4933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AD4933" w:rsidP="004835B2">
            <w:pPr>
              <w:jc w:val="center"/>
              <w:rPr>
                <w:sz w:val="28"/>
                <w:szCs w:val="28"/>
              </w:rPr>
            </w:pPr>
            <w:r>
              <w:t>1034,704</w:t>
            </w:r>
            <w:bookmarkStart w:id="0" w:name="_GoBack"/>
            <w:bookmarkEnd w:id="0"/>
            <w:r w:rsidR="00826C41" w:rsidRPr="00826C41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505306"/>
    <w:rsid w:val="005D5853"/>
    <w:rsid w:val="005F0507"/>
    <w:rsid w:val="006D20D2"/>
    <w:rsid w:val="00826C41"/>
    <w:rsid w:val="00AD4933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1CA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10</cp:revision>
  <cp:lastPrinted>2019-11-12T09:58:00Z</cp:lastPrinted>
  <dcterms:created xsi:type="dcterms:W3CDTF">2020-01-13T01:23:00Z</dcterms:created>
  <dcterms:modified xsi:type="dcterms:W3CDTF">2020-10-07T03:55:00Z</dcterms:modified>
</cp:coreProperties>
</file>